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8"/>
          <w:szCs w:val="28"/>
          <w:lang w:val="en-US" w:eastAsia="zh-CN"/>
        </w:rPr>
      </w:pPr>
      <w:r>
        <w:rPr>
          <w:rFonts w:hint="eastAsia"/>
          <w:b/>
          <w:bCs/>
          <w:sz w:val="28"/>
          <w:szCs w:val="28"/>
          <w:lang w:val="en-US" w:eastAsia="zh-CN"/>
        </w:rPr>
        <w:t>杨凌职业技术学院便携式计算机购置项目询价单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项目名称：</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供应商名称（盖公章）：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供应商联系方式：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技术需求</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290"/>
        <w:gridCol w:w="1580"/>
        <w:gridCol w:w="1461"/>
        <w:gridCol w:w="171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品牌、型号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技术参数</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需求数量（</w:t>
            </w:r>
            <w:r>
              <w:rPr>
                <w:rFonts w:hint="eastAsia" w:ascii="宋体" w:hAnsi="宋体" w:eastAsia="宋体" w:cs="宋体"/>
                <w:sz w:val="24"/>
                <w:szCs w:val="24"/>
                <w:lang w:val="en-US" w:eastAsia="zh-CN"/>
              </w:rPr>
              <w:t>台</w:t>
            </w:r>
            <w:r>
              <w:rPr>
                <w:rFonts w:hint="eastAsia" w:ascii="宋体" w:hAnsi="宋体" w:eastAsia="宋体" w:cs="宋体"/>
                <w:sz w:val="24"/>
                <w:szCs w:val="24"/>
              </w:rPr>
              <w:t>）</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eastAsia="zh-CN"/>
              </w:rPr>
              <w:t>单价</w:t>
            </w:r>
            <w:r>
              <w:rPr>
                <w:rFonts w:hint="eastAsia" w:ascii="宋体" w:hAnsi="宋体" w:eastAsia="宋体" w:cs="宋体"/>
                <w:sz w:val="24"/>
                <w:szCs w:val="24"/>
              </w:rPr>
              <w:t>（元）</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报价总额（元）</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4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bCs/>
          <w:sz w:val="24"/>
          <w:szCs w:val="24"/>
          <w:lang w:val="en-US" w:eastAsia="zh-CN"/>
        </w:rPr>
      </w:pPr>
      <w:r>
        <w:rPr>
          <w:rFonts w:hint="eastAsia"/>
          <w:b/>
          <w:bCs/>
          <w:sz w:val="24"/>
          <w:szCs w:val="24"/>
          <w:lang w:val="en-US" w:eastAsia="zh-CN"/>
        </w:rPr>
        <w:t>五、商务需求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564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ascii="宋体" w:hAnsi="宋体" w:eastAsia="宋体" w:cs="宋体"/>
                <w:sz w:val="24"/>
                <w:szCs w:val="24"/>
              </w:rPr>
              <w:t>商务需求</w:t>
            </w:r>
          </w:p>
        </w:tc>
        <w:tc>
          <w:tcPr>
            <w:tcW w:w="5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ascii="宋体" w:hAnsi="宋体" w:eastAsia="宋体" w:cs="宋体"/>
                <w:sz w:val="24"/>
                <w:szCs w:val="24"/>
              </w:rPr>
              <w:t>需求明细</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ascii="宋体" w:hAnsi="宋体" w:eastAsia="宋体" w:cs="宋体"/>
                <w:sz w:val="24"/>
                <w:szCs w:val="24"/>
              </w:rPr>
              <w:t>需求响应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ascii="宋体" w:hAnsi="宋体" w:eastAsia="宋体" w:cs="宋体"/>
                <w:sz w:val="24"/>
                <w:szCs w:val="24"/>
              </w:rPr>
            </w:pPr>
            <w:r>
              <w:rPr>
                <w:rFonts w:hint="eastAsia" w:ascii="宋体" w:hAnsi="宋体" w:eastAsia="宋体" w:cs="宋体"/>
                <w:b w:val="0"/>
                <w:bCs w:val="0"/>
                <w:sz w:val="24"/>
                <w:szCs w:val="24"/>
                <w:vertAlign w:val="baseline"/>
                <w:lang w:val="en-US" w:eastAsia="zh-CN"/>
              </w:rPr>
              <w:t>商务要求</w:t>
            </w:r>
          </w:p>
        </w:tc>
        <w:tc>
          <w:tcPr>
            <w:tcW w:w="564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所投产品必须为原装正品；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报价应包括对投标产品的运输、安装、售后服务、技术支持、保险、利润、税金及合同包含的所有风险、责任等各项应有费用；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供货商在报价时，报价总价不得超过预算金额，不得以低于成本价的方式谋取中标；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供应商必须响应所有的询价需求，所投产品参数要求无偏离或正偏离；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ascii="宋体" w:hAnsi="宋体" w:eastAsia="宋体" w:cs="宋体"/>
                <w:sz w:val="24"/>
                <w:szCs w:val="24"/>
              </w:rPr>
            </w:pPr>
            <w:r>
              <w:rPr>
                <w:rFonts w:hint="eastAsia" w:ascii="宋体" w:hAnsi="宋体" w:eastAsia="宋体" w:cs="宋体"/>
                <w:b w:val="0"/>
                <w:bCs w:val="0"/>
                <w:sz w:val="24"/>
                <w:szCs w:val="24"/>
                <w:vertAlign w:val="baseline"/>
                <w:lang w:val="en-US" w:eastAsia="zh-CN"/>
              </w:rPr>
              <w:t>品牌必须保证正品，不能为旗下子品牌；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2024年1月15日前完成送货、安装、调试交付使用；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交货地点：杨凌职业技术学院指定地点；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结算方式：成交金额即为结算金额，不再另外支付任何费用；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ascii="宋体" w:hAnsi="宋体" w:eastAsia="宋体" w:cs="宋体"/>
                <w:sz w:val="24"/>
                <w:szCs w:val="24"/>
              </w:rPr>
            </w:pPr>
            <w:r>
              <w:rPr>
                <w:rFonts w:hint="eastAsia" w:ascii="宋体" w:hAnsi="宋体" w:eastAsia="宋体" w:cs="宋体"/>
                <w:b w:val="0"/>
                <w:bCs w:val="0"/>
                <w:sz w:val="24"/>
                <w:szCs w:val="24"/>
                <w:vertAlign w:val="baseline"/>
                <w:lang w:val="en-US" w:eastAsia="zh-CN"/>
              </w:rPr>
              <w:t>付款方式：设备验收合格后一次性付清。</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验收</w:t>
            </w:r>
          </w:p>
        </w:tc>
        <w:tc>
          <w:tcPr>
            <w:tcW w:w="5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1、货物到货后，甲、乙双方共同开箱验收。在检查货物原产地、型号、规格、配置符合要求后，由乙方负责安装调试、甲方负责技术验收（乙方协助）</w:t>
            </w:r>
            <w:r>
              <w:rPr>
                <w:rFonts w:hint="eastAsia" w:ascii="宋体" w:hAnsi="宋体" w:eastAsia="宋体" w:cs="宋体"/>
                <w:b w:val="0"/>
                <w:bCs w:val="0"/>
                <w:sz w:val="24"/>
                <w:szCs w:val="24"/>
                <w:highlight w:val="none"/>
                <w:vertAlign w:val="baseline"/>
                <w:lang w:val="en-US" w:eastAsia="zh-CN"/>
              </w:rPr>
              <w:t>，验收以国内行业标准或合同文本货物供货配置清单中描述的有关技术要求为准；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2、货物必须同时完全符合下列各项标准和要求视为合格，其中包括：装箱单、质量合格证书、保修证书、产品使用书及其它应当随箱的技术资料等。</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售后及承诺</w:t>
            </w:r>
          </w:p>
        </w:tc>
        <w:tc>
          <w:tcPr>
            <w:tcW w:w="564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质保期：验收合格之日起不少于3年；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售后服务即时响应（包括电话响应）；电话响应无法解决应到达现场解决。修复时间两日内解决；如两日内无法修复，应提供相应解决方案；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供应商承诺：确保所投所有货物出厂检测合格、全新、未启封过、未曾使用，无假货、水货、翻新货且无产权纠纷。</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highlight w:val="none"/>
                <w:shd w:val="clear"/>
                <w:vertAlign w:val="baseline"/>
                <w:lang w:val="en-US" w:eastAsia="zh-CN"/>
              </w:rPr>
              <w:t>违约责任</w:t>
            </w:r>
          </w:p>
        </w:tc>
        <w:tc>
          <w:tcPr>
            <w:tcW w:w="5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由违约方承担合同金额5%的经济责任。</w:t>
            </w:r>
          </w:p>
        </w:tc>
        <w:tc>
          <w:tcPr>
            <w:tcW w:w="1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p>
        </w:tc>
      </w:tr>
    </w:tbl>
    <w:p>
      <w:pPr>
        <w:numPr>
          <w:ilvl w:val="0"/>
          <w:numId w:val="0"/>
        </w:numPr>
        <w:jc w:val="left"/>
        <w:rPr>
          <w:rFonts w:hint="eastAsia"/>
          <w:b w:val="0"/>
          <w:bCs w:val="0"/>
          <w:sz w:val="24"/>
          <w:szCs w:val="24"/>
          <w:lang w:val="en-US" w:eastAsia="zh-CN"/>
        </w:rPr>
      </w:pPr>
    </w:p>
    <w:p>
      <w:pPr>
        <w:jc w:val="left"/>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37970"/>
    <w:multiLevelType w:val="singleLevel"/>
    <w:tmpl w:val="99E37970"/>
    <w:lvl w:ilvl="0" w:tentative="0">
      <w:start w:val="1"/>
      <w:numFmt w:val="chineseCounting"/>
      <w:suff w:val="nothing"/>
      <w:lvlText w:val="%1、"/>
      <w:lvlJc w:val="left"/>
      <w:rPr>
        <w:rFonts w:hint="eastAsia"/>
      </w:rPr>
    </w:lvl>
  </w:abstractNum>
  <w:abstractNum w:abstractNumId="1">
    <w:nsid w:val="CD2DE2CF"/>
    <w:multiLevelType w:val="singleLevel"/>
    <w:tmpl w:val="CD2DE2CF"/>
    <w:lvl w:ilvl="0" w:tentative="0">
      <w:start w:val="1"/>
      <w:numFmt w:val="decimal"/>
      <w:suff w:val="nothing"/>
      <w:lvlText w:val="%1、"/>
      <w:lvlJc w:val="left"/>
    </w:lvl>
  </w:abstractNum>
  <w:abstractNum w:abstractNumId="2">
    <w:nsid w:val="74EA7645"/>
    <w:multiLevelType w:val="singleLevel"/>
    <w:tmpl w:val="74EA764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F2C23"/>
    <w:rsid w:val="15490F6E"/>
    <w:rsid w:val="2D3F4F7D"/>
    <w:rsid w:val="37516BC4"/>
    <w:rsid w:val="45617B50"/>
    <w:rsid w:val="491E10D2"/>
    <w:rsid w:val="552F2C23"/>
    <w:rsid w:val="583D70B4"/>
    <w:rsid w:val="5F8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2023-12-31T01:33:00Z</dcterms:created>
  <dc:creator>Administrator</dc:creator>
  <cp:lastModifiedBy>Administrator</cp:lastModifiedBy>
  <cp:lastPrinted>2023-12-31T07:51:30Z</cp:lastPrinted>
  <dcterms:modified xsi:type="dcterms:W3CDTF">2023-12-31T07:59:43Z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